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7DF37E3C" w:rsidR="00747C34" w:rsidRPr="00B676BE" w:rsidRDefault="00747C34" w:rsidP="00747C34">
      <w:pPr>
        <w:spacing w:after="160" w:line="256" w:lineRule="auto"/>
        <w:jc w:val="center"/>
        <w:rPr>
          <w:rFonts w:ascii="Verdana" w:eastAsia="Calibri" w:hAnsi="Verdana" w:cstheme="minorHAnsi"/>
          <w:b/>
          <w:bCs/>
          <w:sz w:val="20"/>
          <w:szCs w:val="20"/>
          <w:lang w:val="it-IT"/>
        </w:rPr>
      </w:pPr>
      <w:r w:rsidRPr="00B676BE">
        <w:rPr>
          <w:rFonts w:ascii="Verdana" w:eastAsia="Calibri" w:hAnsi="Verdana" w:cstheme="minorHAnsi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676BE">
        <w:rPr>
          <w:rFonts w:ascii="Verdana" w:eastAsia="Calibri" w:hAnsi="Verdana" w:cstheme="minorHAnsi"/>
          <w:b/>
          <w:bCs/>
          <w:noProof/>
          <w:sz w:val="20"/>
          <w:szCs w:val="20"/>
          <w:lang w:val="it-IT"/>
        </w:rPr>
        <w:t>MODELLO DI DICHIARAZIONE SUL RISPETTO DEI PRINCIPI DI DNSH</w:t>
      </w:r>
    </w:p>
    <w:p w14:paraId="5325839A" w14:textId="03892F6F" w:rsidR="00BC2AB4" w:rsidRPr="00B676BE" w:rsidRDefault="00BC2AB4" w:rsidP="008B3050">
      <w:pPr>
        <w:spacing w:after="160"/>
        <w:jc w:val="both"/>
        <w:rPr>
          <w:rFonts w:ascii="Verdana" w:eastAsia="Calibri" w:hAnsi="Verdana" w:cstheme="minorHAnsi"/>
          <w:b/>
          <w:bCs/>
          <w:sz w:val="20"/>
          <w:szCs w:val="20"/>
          <w:lang w:val="it-IT"/>
        </w:rPr>
      </w:pPr>
    </w:p>
    <w:p w14:paraId="5E50FBB0" w14:textId="638B095E" w:rsidR="00747C34" w:rsidRPr="00B676BE" w:rsidRDefault="00747C34" w:rsidP="001E3038">
      <w:pPr>
        <w:autoSpaceDE w:val="0"/>
        <w:autoSpaceDN w:val="0"/>
        <w:adjustRightInd w:val="0"/>
        <w:jc w:val="both"/>
        <w:rPr>
          <w:rFonts w:ascii="Verdana" w:hAnsi="Verdana" w:cstheme="minorHAnsi"/>
          <w:i/>
          <w:iCs/>
          <w:sz w:val="20"/>
          <w:szCs w:val="20"/>
          <w:lang w:val="it-IT"/>
        </w:rPr>
      </w:pPr>
      <w:r w:rsidRPr="00B676BE">
        <w:rPr>
          <w:rFonts w:ascii="Verdana" w:eastAsia="Calibri" w:hAnsi="Verdana" w:cstheme="minorHAnsi"/>
          <w:b/>
          <w:bCs/>
          <w:sz w:val="20"/>
          <w:szCs w:val="20"/>
          <w:lang w:val="it-IT"/>
        </w:rPr>
        <w:t>Il sottoscritto</w:t>
      </w:r>
      <w:r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 __________ nato a______ il </w:t>
      </w:r>
      <w:r w:rsidR="00B54D5A" w:rsidRPr="00B676BE">
        <w:rPr>
          <w:rFonts w:ascii="Verdana" w:eastAsia="Calibri" w:hAnsi="Verdana" w:cstheme="minorHAnsi"/>
          <w:sz w:val="20"/>
          <w:szCs w:val="20"/>
          <w:lang w:val="it-IT"/>
        </w:rPr>
        <w:t>____</w:t>
      </w:r>
      <w:r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_________, </w:t>
      </w:r>
      <w:r w:rsidR="00CE0EFE"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C.F. </w:t>
      </w:r>
      <w:r w:rsidRPr="00B676BE">
        <w:rPr>
          <w:rFonts w:ascii="Verdana" w:eastAsia="Calibri" w:hAnsi="Verdana" w:cstheme="minorHAnsi"/>
          <w:sz w:val="20"/>
          <w:szCs w:val="20"/>
          <w:lang w:val="it-IT"/>
        </w:rPr>
        <w:t>________________,</w:t>
      </w:r>
      <w:r w:rsidR="00BC2AB4"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B676BE">
        <w:rPr>
          <w:rFonts w:ascii="Verdana" w:eastAsia="Calibri" w:hAnsi="Verdana" w:cstheme="minorHAnsi"/>
          <w:sz w:val="20"/>
          <w:szCs w:val="20"/>
          <w:lang w:val="it-IT"/>
        </w:rPr>
        <w:t>,</w:t>
      </w:r>
      <w:r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 con riferimento alla procedura </w:t>
      </w:r>
      <w:r w:rsidR="000D7E2C"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volta all’affidamento diretto, </w:t>
      </w:r>
      <w:r w:rsidR="00F62593" w:rsidRPr="002B2932">
        <w:rPr>
          <w:rFonts w:ascii="Verdana" w:hAnsi="Verdana"/>
          <w:sz w:val="20"/>
          <w:szCs w:val="20"/>
        </w:rPr>
        <w:t>ai sensi dell'art. 50, comma 1,</w:t>
      </w:r>
      <w:r w:rsidR="00F62593" w:rsidRPr="002B2932">
        <w:rPr>
          <w:rFonts w:ascii="Verdana" w:hAnsi="Verdana"/>
          <w:spacing w:val="1"/>
          <w:sz w:val="20"/>
          <w:szCs w:val="20"/>
        </w:rPr>
        <w:t xml:space="preserve"> </w:t>
      </w:r>
      <w:r w:rsidR="00F62593" w:rsidRPr="002B2932">
        <w:rPr>
          <w:rFonts w:ascii="Verdana" w:hAnsi="Verdana"/>
          <w:sz w:val="20"/>
          <w:szCs w:val="20"/>
        </w:rPr>
        <w:t>lettera b), del D.Lgs. n. 36/2023, in deroga al principio di rotazione come previsto dall’art. 49, comma 6 del D.Lgs 36/2023</w:t>
      </w:r>
      <w:r w:rsidR="00DA36A1" w:rsidRPr="00B676BE">
        <w:rPr>
          <w:rFonts w:ascii="Verdana" w:eastAsia="Calibri" w:hAnsi="Verdana" w:cstheme="minorHAnsi"/>
          <w:sz w:val="20"/>
          <w:szCs w:val="20"/>
          <w:lang w:val="it-IT"/>
        </w:rPr>
        <w:t>,</w:t>
      </w:r>
      <w:r w:rsidR="00A85B3D"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 del</w:t>
      </w:r>
      <w:r w:rsidR="00DA36A1" w:rsidRPr="00B676BE">
        <w:rPr>
          <w:rFonts w:ascii="Verdana" w:eastAsia="Calibri" w:hAnsi="Verdana" w:cstheme="minorHAnsi"/>
          <w:sz w:val="20"/>
          <w:szCs w:val="20"/>
          <w:lang w:val="it-IT"/>
        </w:rPr>
        <w:t xml:space="preserve"> «</w:t>
      </w:r>
      <w:r w:rsidR="004D3C16" w:rsidRPr="00B676BE">
        <w:rPr>
          <w:rFonts w:ascii="Verdana" w:hAnsi="Verdana"/>
          <w:b/>
          <w:bCs/>
          <w:i/>
          <w:sz w:val="20"/>
          <w:szCs w:val="20"/>
        </w:rPr>
        <w:t xml:space="preserve"> Progetto “ </w:t>
      </w:r>
      <w:r w:rsidR="00F62593" w:rsidRPr="00987F7B">
        <w:rPr>
          <w:rFonts w:ascii="Verdana" w:hAnsi="Verdana"/>
          <w:sz w:val="20"/>
          <w:szCs w:val="20"/>
        </w:rPr>
        <w:t>PNRR M1C1 nell’ambito della Missione 1, Investimento 1.2 “Abilitazione al cloud per le PA Locali-scuole”</w:t>
      </w:r>
      <w:r w:rsidR="002E7A56" w:rsidRPr="00B676BE">
        <w:rPr>
          <w:rFonts w:ascii="Verdana" w:eastAsia="Times New Roman" w:hAnsi="Verdana" w:cs="Times New Roman"/>
          <w:bCs/>
          <w:i/>
          <w:iCs/>
          <w:sz w:val="20"/>
          <w:szCs w:val="20"/>
          <w:lang w:val="it-IT" w:eastAsia="it-IT"/>
        </w:rPr>
        <w:t xml:space="preserve">- </w:t>
      </w:r>
      <w:r w:rsidR="002E7A56" w:rsidRPr="00B676BE">
        <w:rPr>
          <w:rFonts w:ascii="Verdana" w:eastAsia="Times New Roman" w:hAnsi="Verdana" w:cs="Times New Roman"/>
          <w:bCs/>
          <w:iCs/>
          <w:sz w:val="20"/>
          <w:szCs w:val="20"/>
          <w:lang w:val="it-IT" w:eastAsia="it-IT"/>
        </w:rPr>
        <w:t xml:space="preserve">CUP: </w:t>
      </w:r>
      <w:bookmarkStart w:id="0" w:name="_Hlk190173852"/>
      <w:r w:rsidR="00F62593" w:rsidRPr="00987F7B">
        <w:rPr>
          <w:rFonts w:ascii="Verdana" w:hAnsi="Verdana"/>
          <w:b/>
          <w:bCs/>
          <w:sz w:val="20"/>
          <w:szCs w:val="20"/>
        </w:rPr>
        <w:t>I51C23000610006</w:t>
      </w:r>
      <w:bookmarkEnd w:id="0"/>
      <w:r w:rsidR="002E7A56" w:rsidRPr="00B676BE">
        <w:rPr>
          <w:rFonts w:ascii="Verdana" w:eastAsia="Times New Roman" w:hAnsi="Verdana" w:cs="Times New Roman"/>
          <w:bCs/>
          <w:i/>
          <w:iCs/>
          <w:sz w:val="20"/>
          <w:szCs w:val="20"/>
          <w:lang w:val="it-IT" w:eastAsia="it-IT"/>
        </w:rPr>
        <w:t xml:space="preserve"> - </w:t>
      </w:r>
      <w:r w:rsidR="005D1599" w:rsidRPr="00B676BE">
        <w:rPr>
          <w:rFonts w:ascii="Verdana" w:eastAsia="Calibri" w:hAnsi="Verdana" w:cstheme="minorHAnsi"/>
          <w:bCs/>
          <w:sz w:val="20"/>
          <w:szCs w:val="20"/>
          <w:lang w:val="it-IT"/>
        </w:rPr>
        <w:t xml:space="preserve">nell’ambito del </w:t>
      </w:r>
      <w:r w:rsidR="005D1599" w:rsidRPr="00B676BE">
        <w:rPr>
          <w:rFonts w:ascii="Verdana" w:hAnsi="Verdana" w:cstheme="minorHAnsi"/>
          <w:sz w:val="20"/>
          <w:szCs w:val="20"/>
          <w:lang w:val="it-IT"/>
        </w:rPr>
        <w:t xml:space="preserve">Piano Nazionale di Ripresa e Resilienza, Missione </w:t>
      </w:r>
      <w:r w:rsidR="00F62593">
        <w:rPr>
          <w:rFonts w:ascii="Verdana" w:hAnsi="Verdana" w:cstheme="minorHAnsi"/>
          <w:sz w:val="20"/>
          <w:szCs w:val="20"/>
          <w:lang w:val="it-IT"/>
        </w:rPr>
        <w:t>1</w:t>
      </w:r>
      <w:r w:rsidR="005D1599" w:rsidRPr="00B676BE">
        <w:rPr>
          <w:rFonts w:ascii="Verdana" w:hAnsi="Verdana" w:cstheme="minorHAnsi"/>
          <w:sz w:val="20"/>
          <w:szCs w:val="20"/>
          <w:lang w:val="it-IT"/>
        </w:rPr>
        <w:t xml:space="preserve"> – Investimento </w:t>
      </w:r>
      <w:r w:rsidR="00F62593">
        <w:rPr>
          <w:rFonts w:ascii="Verdana" w:hAnsi="Verdana" w:cstheme="minorHAnsi"/>
          <w:sz w:val="20"/>
          <w:szCs w:val="20"/>
          <w:lang w:val="it-IT"/>
        </w:rPr>
        <w:t>1</w:t>
      </w:r>
      <w:r w:rsidR="005D1599" w:rsidRPr="00B676BE">
        <w:rPr>
          <w:rFonts w:ascii="Verdana" w:hAnsi="Verdana" w:cstheme="minorHAnsi"/>
          <w:sz w:val="20"/>
          <w:szCs w:val="20"/>
          <w:lang w:val="it-IT"/>
        </w:rPr>
        <w:t xml:space="preserve">.2 </w:t>
      </w:r>
      <w:r w:rsidR="00B54D5A" w:rsidRPr="00B676BE">
        <w:rPr>
          <w:rFonts w:ascii="Verdana" w:hAnsi="Verdana" w:cstheme="minorHAnsi"/>
          <w:sz w:val="20"/>
          <w:szCs w:val="20"/>
          <w:lang w:val="it-IT"/>
        </w:rPr>
        <w:t xml:space="preserve">finanziato dall’Unione europea – </w:t>
      </w:r>
      <w:r w:rsidR="00B54D5A" w:rsidRPr="00B676BE">
        <w:rPr>
          <w:rFonts w:ascii="Verdana" w:hAnsi="Verdana" w:cstheme="minorHAnsi"/>
          <w:i/>
          <w:iCs/>
          <w:sz w:val="20"/>
          <w:szCs w:val="20"/>
          <w:lang w:val="it-IT"/>
        </w:rPr>
        <w:t>Next Generation EU</w:t>
      </w:r>
    </w:p>
    <w:p w14:paraId="0DB56B58" w14:textId="4C5B980C" w:rsidR="00747C34" w:rsidRPr="00B676BE" w:rsidRDefault="00DA36A1" w:rsidP="003D3692">
      <w:pPr>
        <w:spacing w:after="160" w:line="256" w:lineRule="auto"/>
        <w:jc w:val="center"/>
        <w:rPr>
          <w:rFonts w:ascii="Verdana" w:eastAsia="Calibri" w:hAnsi="Verdana" w:cstheme="minorHAnsi"/>
          <w:b/>
          <w:sz w:val="20"/>
          <w:szCs w:val="20"/>
          <w:lang w:val="it-IT"/>
        </w:rPr>
      </w:pPr>
      <w:r w:rsidRPr="00B676BE">
        <w:rPr>
          <w:rFonts w:ascii="Verdana" w:eastAsia="Calibri" w:hAnsi="Verdana" w:cstheme="minorHAnsi"/>
          <w:b/>
          <w:sz w:val="20"/>
          <w:szCs w:val="20"/>
          <w:lang w:val="it-IT"/>
        </w:rPr>
        <w:t>D</w:t>
      </w:r>
      <w:r w:rsidR="00747C34" w:rsidRPr="00B676BE">
        <w:rPr>
          <w:rFonts w:ascii="Verdana" w:eastAsia="Calibri" w:hAnsi="Verdana" w:cstheme="minorHAnsi"/>
          <w:b/>
          <w:sz w:val="20"/>
          <w:szCs w:val="20"/>
          <w:lang w:val="it-IT"/>
        </w:rPr>
        <w:t>ICHIARA</w:t>
      </w:r>
    </w:p>
    <w:p w14:paraId="0234FDB5" w14:textId="10FCC164" w:rsidR="008B3050" w:rsidRPr="00B676BE" w:rsidRDefault="008B3050" w:rsidP="003D3692">
      <w:pPr>
        <w:spacing w:before="120" w:after="120"/>
        <w:jc w:val="both"/>
        <w:rPr>
          <w:rFonts w:ascii="Verdana" w:eastAsia="Calibri" w:hAnsi="Verdana" w:cstheme="minorHAnsi"/>
          <w:b/>
          <w:bCs/>
          <w:sz w:val="20"/>
          <w:szCs w:val="20"/>
          <w:lang w:val="it-IT"/>
        </w:rPr>
      </w:pPr>
      <w:r w:rsidRPr="00B676BE">
        <w:rPr>
          <w:rFonts w:ascii="Verdana" w:eastAsia="Calibri" w:hAnsi="Verdana" w:cstheme="minorHAnsi"/>
          <w:b/>
          <w:bCs/>
          <w:sz w:val="20"/>
          <w:szCs w:val="20"/>
          <w:lang w:val="it-IT"/>
        </w:rPr>
        <w:t>a</w:t>
      </w:r>
      <w:r w:rsidR="00747C34" w:rsidRPr="00B676BE">
        <w:rPr>
          <w:rFonts w:ascii="Verdana" w:eastAsia="Calibri" w:hAnsi="Verdana" w:cstheme="minorHAnsi"/>
          <w:b/>
          <w:bCs/>
          <w:sz w:val="20"/>
          <w:szCs w:val="20"/>
          <w:lang w:val="it-IT"/>
        </w:rPr>
        <w:t xml:space="preserve">i sensi degli articoli 46 e 47 del D.P.R. 445/2000, </w:t>
      </w:r>
      <w:r w:rsidRPr="00B676BE">
        <w:rPr>
          <w:rFonts w:ascii="Verdana" w:eastAsia="Calibri" w:hAnsi="Verdana" w:cstheme="minorHAnsi"/>
          <w:b/>
          <w:bCs/>
          <w:sz w:val="20"/>
          <w:szCs w:val="20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 w:rsidRPr="00B676BE">
        <w:rPr>
          <w:rFonts w:ascii="Verdana" w:eastAsia="Calibri" w:hAnsi="Verdana" w:cstheme="minorHAnsi"/>
          <w:b/>
          <w:bCs/>
          <w:sz w:val="20"/>
          <w:szCs w:val="20"/>
          <w:lang w:val="it-IT"/>
        </w:rPr>
        <w:t xml:space="preserve"> </w:t>
      </w:r>
    </w:p>
    <w:p w14:paraId="5D55C866" w14:textId="6376856E" w:rsidR="00A95CA4" w:rsidRPr="00B676BE" w:rsidRDefault="003D3692" w:rsidP="00A95CA4">
      <w:pPr>
        <w:pStyle w:val="Default"/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 xml:space="preserve">di assumere nei confronti </w:t>
      </w:r>
      <w:r w:rsidR="005D1599" w:rsidRPr="00B676BE">
        <w:rPr>
          <w:rFonts w:ascii="Verdana" w:hAnsi="Verdana" w:cs="Calibri"/>
          <w:sz w:val="20"/>
          <w:szCs w:val="20"/>
        </w:rPr>
        <w:t xml:space="preserve">dell’Istituto </w:t>
      </w:r>
      <w:r w:rsidR="00B676BE" w:rsidRPr="00B676BE">
        <w:rPr>
          <w:rFonts w:ascii="Verdana" w:hAnsi="Verdana" w:cs="Calibri"/>
          <w:sz w:val="20"/>
          <w:szCs w:val="20"/>
        </w:rPr>
        <w:t>Comprensivo</w:t>
      </w:r>
      <w:r w:rsidR="002E7A56" w:rsidRPr="00B676BE">
        <w:rPr>
          <w:rFonts w:ascii="Verdana" w:hAnsi="Verdana" w:cs="Calibri"/>
          <w:sz w:val="20"/>
          <w:szCs w:val="20"/>
        </w:rPr>
        <w:t xml:space="preserve"> “</w:t>
      </w:r>
      <w:proofErr w:type="gramStart"/>
      <w:r w:rsidR="00B676BE" w:rsidRPr="00B676BE">
        <w:rPr>
          <w:rFonts w:ascii="Verdana" w:hAnsi="Verdana" w:cs="Calibri"/>
          <w:sz w:val="20"/>
          <w:szCs w:val="20"/>
        </w:rPr>
        <w:t>O.Pazzi</w:t>
      </w:r>
      <w:proofErr w:type="gramEnd"/>
      <w:r w:rsidR="002E7A56" w:rsidRPr="00B676BE">
        <w:rPr>
          <w:rFonts w:ascii="Verdana" w:hAnsi="Verdana" w:cs="Calibri"/>
          <w:sz w:val="20"/>
          <w:szCs w:val="20"/>
        </w:rPr>
        <w:t xml:space="preserve">”di </w:t>
      </w:r>
      <w:r w:rsidR="00B676BE" w:rsidRPr="00B676BE">
        <w:rPr>
          <w:rFonts w:ascii="Verdana" w:hAnsi="Verdana" w:cs="Calibri"/>
          <w:sz w:val="20"/>
          <w:szCs w:val="20"/>
        </w:rPr>
        <w:t>Brisighella</w:t>
      </w:r>
      <w:r w:rsidR="002E7A56" w:rsidRPr="00B676BE">
        <w:rPr>
          <w:rFonts w:ascii="Verdana" w:hAnsi="Verdana" w:cs="Calibri"/>
          <w:sz w:val="20"/>
          <w:szCs w:val="20"/>
        </w:rPr>
        <w:t xml:space="preserve"> (Ra)</w:t>
      </w:r>
      <w:r w:rsidR="00A95CA4" w:rsidRPr="00B676BE">
        <w:rPr>
          <w:rFonts w:ascii="Verdana" w:hAnsi="Verdana" w:cs="Calibri"/>
          <w:sz w:val="20"/>
          <w:szCs w:val="20"/>
        </w:rPr>
        <w:t xml:space="preserve">, </w:t>
      </w:r>
      <w:r w:rsidRPr="00B676BE">
        <w:rPr>
          <w:rFonts w:ascii="Verdana" w:hAnsi="Verdana" w:cs="Calibri"/>
          <w:sz w:val="20"/>
          <w:szCs w:val="20"/>
        </w:rPr>
        <w:t>per l’attuazione dell’intervento ammesso a finanziamento</w:t>
      </w:r>
      <w:r w:rsidR="009D45D1" w:rsidRPr="00B676BE">
        <w:rPr>
          <w:rFonts w:ascii="Verdana" w:hAnsi="Verdana" w:cs="Calibri"/>
          <w:sz w:val="20"/>
          <w:szCs w:val="20"/>
        </w:rPr>
        <w:t xml:space="preserve"> nell’ambito del Piano </w:t>
      </w:r>
      <w:r w:rsidR="00B54D5A" w:rsidRPr="00B676BE">
        <w:rPr>
          <w:rFonts w:ascii="Verdana" w:hAnsi="Verdana" w:cs="Calibri"/>
          <w:sz w:val="20"/>
          <w:szCs w:val="20"/>
        </w:rPr>
        <w:t>n</w:t>
      </w:r>
      <w:r w:rsidR="009D45D1" w:rsidRPr="00B676BE">
        <w:rPr>
          <w:rFonts w:ascii="Verdana" w:hAnsi="Verdana" w:cs="Calibri"/>
          <w:sz w:val="20"/>
          <w:szCs w:val="20"/>
        </w:rPr>
        <w:t xml:space="preserve">azionale di </w:t>
      </w:r>
      <w:r w:rsidR="00B54D5A" w:rsidRPr="00B676BE">
        <w:rPr>
          <w:rFonts w:ascii="Verdana" w:hAnsi="Verdana" w:cs="Calibri"/>
          <w:sz w:val="20"/>
          <w:szCs w:val="20"/>
        </w:rPr>
        <w:t>r</w:t>
      </w:r>
      <w:r w:rsidR="009D45D1" w:rsidRPr="00B676BE">
        <w:rPr>
          <w:rFonts w:ascii="Verdana" w:hAnsi="Verdana" w:cs="Calibri"/>
          <w:sz w:val="20"/>
          <w:szCs w:val="20"/>
        </w:rPr>
        <w:t xml:space="preserve">ipresa e </w:t>
      </w:r>
      <w:r w:rsidR="00B54D5A" w:rsidRPr="00B676BE">
        <w:rPr>
          <w:rFonts w:ascii="Verdana" w:hAnsi="Verdana" w:cs="Calibri"/>
          <w:sz w:val="20"/>
          <w:szCs w:val="20"/>
        </w:rPr>
        <w:t>r</w:t>
      </w:r>
      <w:r w:rsidR="009D45D1" w:rsidRPr="00B676BE">
        <w:rPr>
          <w:rFonts w:ascii="Verdana" w:hAnsi="Verdana" w:cs="Calibri"/>
          <w:sz w:val="20"/>
          <w:szCs w:val="20"/>
        </w:rPr>
        <w:t xml:space="preserve">esilienza, </w:t>
      </w:r>
      <w:r w:rsidR="00AD0E84" w:rsidRPr="00987F7B">
        <w:rPr>
          <w:rFonts w:ascii="Verdana" w:hAnsi="Verdana"/>
          <w:sz w:val="20"/>
          <w:szCs w:val="20"/>
        </w:rPr>
        <w:t xml:space="preserve">PNRR M1C1 nell’ambito della Missione 1, Investimento 1.2 “Abilitazione al cloud per le PA Locali-scuole” </w:t>
      </w:r>
      <w:r w:rsidR="00B54D5A" w:rsidRPr="00B676BE">
        <w:rPr>
          <w:rFonts w:ascii="Verdana" w:hAnsi="Verdana" w:cs="Calibri"/>
          <w:sz w:val="20"/>
          <w:szCs w:val="20"/>
        </w:rPr>
        <w:t xml:space="preserve">– </w:t>
      </w:r>
      <w:r w:rsidR="00B54D5A" w:rsidRPr="00B676BE">
        <w:rPr>
          <w:rFonts w:ascii="Verdana" w:hAnsi="Verdana" w:cs="Calibri"/>
          <w:i/>
          <w:iCs/>
          <w:sz w:val="20"/>
          <w:szCs w:val="20"/>
        </w:rPr>
        <w:t>Next Generation EU</w:t>
      </w:r>
      <w:r w:rsidR="00B54D5A" w:rsidRPr="00B676BE">
        <w:rPr>
          <w:rFonts w:ascii="Verdana" w:hAnsi="Verdana" w:cs="Calibri"/>
          <w:sz w:val="20"/>
          <w:szCs w:val="20"/>
        </w:rPr>
        <w:t xml:space="preserve">, </w:t>
      </w:r>
      <w:r w:rsidR="00A95CA4" w:rsidRPr="00B676BE">
        <w:rPr>
          <w:rFonts w:ascii="Verdana" w:hAnsi="Verdana" w:cs="Calibri"/>
          <w:sz w:val="20"/>
          <w:szCs w:val="20"/>
        </w:rPr>
        <w:t xml:space="preserve">l’impegno a: </w:t>
      </w:r>
    </w:p>
    <w:p w14:paraId="7463A327" w14:textId="629B517B" w:rsidR="005D3AD5" w:rsidRPr="00B676BE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>r</w:t>
      </w:r>
      <w:r w:rsidR="003D3692" w:rsidRPr="00B676BE">
        <w:rPr>
          <w:rFonts w:ascii="Verdana" w:hAnsi="Verdana" w:cs="Calibri"/>
          <w:sz w:val="20"/>
          <w:szCs w:val="20"/>
        </w:rPr>
        <w:t>ispettare</w:t>
      </w:r>
      <w:r w:rsidRPr="00B676BE">
        <w:rPr>
          <w:rFonts w:ascii="Verdana" w:hAnsi="Verdana" w:cs="Calibri"/>
          <w:sz w:val="20"/>
          <w:szCs w:val="20"/>
        </w:rPr>
        <w:t xml:space="preserve"> </w:t>
      </w:r>
      <w:r w:rsidR="003D3692" w:rsidRPr="00B676BE">
        <w:rPr>
          <w:rFonts w:ascii="Verdana" w:hAnsi="Verdana" w:cs="Calibri"/>
          <w:sz w:val="20"/>
          <w:szCs w:val="20"/>
        </w:rPr>
        <w:t>l</w:t>
      </w:r>
      <w:r w:rsidR="005D3AD5" w:rsidRPr="00B676BE">
        <w:rPr>
          <w:rFonts w:ascii="Verdana" w:hAnsi="Verdana" w:cs="Calibri"/>
          <w:sz w:val="20"/>
          <w:szCs w:val="20"/>
        </w:rPr>
        <w:t xml:space="preserve">a normativa europea e nazionale in materia di politiche ambientali; </w:t>
      </w:r>
    </w:p>
    <w:p w14:paraId="279156E9" w14:textId="2C76DAC2" w:rsidR="003D3692" w:rsidRPr="00B676BE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 xml:space="preserve">rispettare le </w:t>
      </w:r>
      <w:r w:rsidR="003D3692" w:rsidRPr="00B676BE">
        <w:rPr>
          <w:rFonts w:ascii="Verdana" w:hAnsi="Verdana" w:cs="Calibri"/>
          <w:sz w:val="20"/>
          <w:szCs w:val="20"/>
        </w:rPr>
        <w:t xml:space="preserve">indicazioni </w:t>
      </w:r>
      <w:r w:rsidR="00A95CA4" w:rsidRPr="00B676BE">
        <w:rPr>
          <w:rFonts w:ascii="Verdana" w:hAnsi="Verdana" w:cs="Calibri"/>
          <w:sz w:val="20"/>
          <w:szCs w:val="20"/>
        </w:rPr>
        <w:t xml:space="preserve">relative </w:t>
      </w:r>
      <w:r w:rsidR="003D3692" w:rsidRPr="00B676BE">
        <w:rPr>
          <w:rFonts w:ascii="Verdana" w:hAnsi="Verdana" w:cs="Calibri"/>
          <w:sz w:val="20"/>
          <w:szCs w:val="20"/>
        </w:rPr>
        <w:t>ai principi orizzontali di cui all’art. 5 del Reg. (UE) 2021/241, ossia il principio di non arrecare un danno significativo agli obiettivi ambientali</w:t>
      </w:r>
      <w:r w:rsidR="00A95CA4" w:rsidRPr="00B676BE">
        <w:rPr>
          <w:rFonts w:ascii="Verdana" w:hAnsi="Verdana" w:cs="Calibri"/>
          <w:sz w:val="20"/>
          <w:szCs w:val="20"/>
        </w:rPr>
        <w:t xml:space="preserve"> (</w:t>
      </w:r>
      <w:r w:rsidRPr="00B676BE">
        <w:rPr>
          <w:rFonts w:ascii="Verdana" w:hAnsi="Verdana" w:cs="Calibri"/>
          <w:sz w:val="20"/>
          <w:szCs w:val="20"/>
        </w:rPr>
        <w:t xml:space="preserve">DNSH - </w:t>
      </w:r>
      <w:r w:rsidRPr="00B676BE">
        <w:rPr>
          <w:rFonts w:ascii="Verdana" w:hAnsi="Verdana" w:cs="Calibri"/>
          <w:i/>
          <w:iCs/>
          <w:sz w:val="20"/>
          <w:szCs w:val="20"/>
        </w:rPr>
        <w:t>Do not significant harm</w:t>
      </w:r>
      <w:r w:rsidRPr="00B676BE">
        <w:rPr>
          <w:rFonts w:ascii="Verdana" w:hAnsi="Verdana" w:cs="Calibri"/>
          <w:sz w:val="20"/>
          <w:szCs w:val="20"/>
        </w:rPr>
        <w:t>)</w:t>
      </w:r>
      <w:r w:rsidR="003D3692" w:rsidRPr="00B676BE">
        <w:rPr>
          <w:rFonts w:ascii="Verdana" w:hAnsi="Verdana" w:cs="Calibri"/>
          <w:sz w:val="20"/>
          <w:szCs w:val="20"/>
        </w:rPr>
        <w:t>, ai sensi dell'art</w:t>
      </w:r>
      <w:r w:rsidR="0035656B" w:rsidRPr="00B676BE">
        <w:rPr>
          <w:rFonts w:ascii="Verdana" w:hAnsi="Verdana" w:cs="Calibri"/>
          <w:sz w:val="20"/>
          <w:szCs w:val="20"/>
        </w:rPr>
        <w:t>.</w:t>
      </w:r>
      <w:r w:rsidR="003D3692" w:rsidRPr="00B676BE">
        <w:rPr>
          <w:rFonts w:ascii="Verdana" w:hAnsi="Verdana" w:cs="Calibri"/>
          <w:sz w:val="20"/>
          <w:szCs w:val="20"/>
        </w:rPr>
        <w:t xml:space="preserve"> 17 del Reg. (UE) 2020/85;</w:t>
      </w:r>
    </w:p>
    <w:p w14:paraId="1946CF5E" w14:textId="7EF36FBD" w:rsidR="005D3AD5" w:rsidRPr="00B676BE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>rispettare i requisiti ambientali definiti nell’ambito del «</w:t>
      </w:r>
      <w:r w:rsidRPr="00B676BE">
        <w:rPr>
          <w:rFonts w:ascii="Verdana" w:hAnsi="Verdana" w:cs="Calibri"/>
          <w:i/>
          <w:iCs/>
          <w:sz w:val="20"/>
          <w:szCs w:val="20"/>
        </w:rPr>
        <w:t>Piano d’azione per la sostenibilità ambientale dei consumi della pubblica amministrazione</w:t>
      </w:r>
      <w:r w:rsidRPr="00B676BE">
        <w:rPr>
          <w:rFonts w:ascii="Verdana" w:hAnsi="Verdana" w:cs="Calibri"/>
          <w:sz w:val="20"/>
          <w:szCs w:val="20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2DC9C895" w14:textId="1B4635D5" w:rsidR="003D3692" w:rsidRPr="00B676BE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 xml:space="preserve">di impegnarsi a trasmettere tempestivamente i documenti comprovanti il rispetto del </w:t>
      </w:r>
      <w:r w:rsidR="005D3AD5" w:rsidRPr="00B676BE">
        <w:rPr>
          <w:rFonts w:ascii="Verdana" w:hAnsi="Verdana" w:cs="Calibri"/>
          <w:sz w:val="20"/>
          <w:szCs w:val="20"/>
        </w:rPr>
        <w:t xml:space="preserve">principio </w:t>
      </w:r>
      <w:r w:rsidRPr="00B676BE">
        <w:rPr>
          <w:rFonts w:ascii="Verdana" w:hAnsi="Verdana" w:cs="Calibri"/>
          <w:sz w:val="20"/>
          <w:szCs w:val="20"/>
        </w:rPr>
        <w:t>DNSH</w:t>
      </w:r>
      <w:r w:rsidR="005D3AD5" w:rsidRPr="00B676BE">
        <w:rPr>
          <w:rFonts w:ascii="Verdana" w:hAnsi="Verdana" w:cs="Calibri"/>
          <w:sz w:val="20"/>
          <w:szCs w:val="20"/>
        </w:rPr>
        <w:t>, dei CAM e della normativa europea e nazionale in materia di politiche ambientali</w:t>
      </w:r>
      <w:r w:rsidRPr="00B676BE">
        <w:rPr>
          <w:rFonts w:ascii="Verdana" w:hAnsi="Verdana" w:cs="Calibri"/>
          <w:sz w:val="20"/>
          <w:szCs w:val="20"/>
        </w:rPr>
        <w:t>, coerentemente con quanto previsto</w:t>
      </w:r>
      <w:r w:rsidR="005D3AD5" w:rsidRPr="00B676BE">
        <w:rPr>
          <w:rFonts w:ascii="Verdana" w:hAnsi="Verdana" w:cs="Calibri"/>
          <w:sz w:val="20"/>
          <w:szCs w:val="20"/>
        </w:rPr>
        <w:t xml:space="preserve">, rispettivamente, </w:t>
      </w:r>
      <w:r w:rsidRPr="00B676BE">
        <w:rPr>
          <w:rFonts w:ascii="Verdana" w:hAnsi="Verdana" w:cs="Calibri"/>
          <w:sz w:val="20"/>
          <w:szCs w:val="20"/>
        </w:rPr>
        <w:t xml:space="preserve">dalla </w:t>
      </w:r>
      <w:r w:rsidR="009D45D1" w:rsidRPr="00B676BE">
        <w:rPr>
          <w:rFonts w:ascii="Verdana" w:hAnsi="Verdana" w:cs="Calibri"/>
          <w:sz w:val="20"/>
          <w:szCs w:val="20"/>
        </w:rPr>
        <w:t>«</w:t>
      </w:r>
      <w:r w:rsidRPr="00B676BE">
        <w:rPr>
          <w:rFonts w:ascii="Verdana" w:hAnsi="Verdana" w:cs="Calibri"/>
          <w:i/>
          <w:iCs/>
          <w:sz w:val="20"/>
          <w:szCs w:val="20"/>
        </w:rPr>
        <w:t>Guida operativa per il rispetto del principio di non arrecare danno significativo all’ambiente</w:t>
      </w:r>
      <w:r w:rsidR="009D45D1" w:rsidRPr="00B676BE">
        <w:rPr>
          <w:rFonts w:ascii="Verdana" w:hAnsi="Verdana" w:cs="Calibri"/>
          <w:sz w:val="20"/>
          <w:szCs w:val="20"/>
        </w:rPr>
        <w:t>»</w:t>
      </w:r>
      <w:r w:rsidRPr="00B676BE">
        <w:rPr>
          <w:rFonts w:ascii="Verdana" w:hAnsi="Verdana" w:cs="Calibri"/>
          <w:sz w:val="20"/>
          <w:szCs w:val="20"/>
        </w:rPr>
        <w:t xml:space="preserve"> di cui all</w:t>
      </w:r>
      <w:r w:rsidR="009D45D1" w:rsidRPr="00B676BE">
        <w:rPr>
          <w:rFonts w:ascii="Verdana" w:hAnsi="Verdana" w:cs="Calibri"/>
          <w:sz w:val="20"/>
          <w:szCs w:val="20"/>
        </w:rPr>
        <w:t xml:space="preserve">e </w:t>
      </w:r>
      <w:r w:rsidRPr="00B676BE">
        <w:rPr>
          <w:rFonts w:ascii="Verdana" w:hAnsi="Verdana" w:cs="Calibri"/>
          <w:sz w:val="20"/>
          <w:szCs w:val="20"/>
        </w:rPr>
        <w:t>circolar</w:t>
      </w:r>
      <w:r w:rsidR="009D45D1" w:rsidRPr="00B676BE">
        <w:rPr>
          <w:rFonts w:ascii="Verdana" w:hAnsi="Verdana" w:cs="Calibri"/>
          <w:sz w:val="20"/>
          <w:szCs w:val="20"/>
        </w:rPr>
        <w:t>i</w:t>
      </w:r>
      <w:r w:rsidRPr="00B676BE">
        <w:rPr>
          <w:rFonts w:ascii="Verdana" w:hAnsi="Verdana" w:cs="Calibri"/>
          <w:sz w:val="20"/>
          <w:szCs w:val="20"/>
        </w:rPr>
        <w:t xml:space="preserve"> MEF</w:t>
      </w:r>
      <w:r w:rsidR="009D45D1" w:rsidRPr="00B676BE">
        <w:rPr>
          <w:rFonts w:ascii="Verdana" w:hAnsi="Verdana" w:cs="Calibri"/>
          <w:sz w:val="20"/>
          <w:szCs w:val="20"/>
        </w:rPr>
        <w:t xml:space="preserve"> del</w:t>
      </w:r>
      <w:r w:rsidRPr="00B676BE">
        <w:rPr>
          <w:rFonts w:ascii="Verdana" w:hAnsi="Verdana" w:cs="Calibri"/>
          <w:sz w:val="20"/>
          <w:szCs w:val="20"/>
        </w:rPr>
        <w:t xml:space="preserve"> 30 dicembre 2021, n. 32</w:t>
      </w:r>
      <w:r w:rsidR="009D45D1" w:rsidRPr="00B676BE">
        <w:rPr>
          <w:rFonts w:ascii="Verdana" w:hAnsi="Verdana" w:cs="Calibri"/>
          <w:sz w:val="20"/>
          <w:szCs w:val="20"/>
        </w:rPr>
        <w:t>, del 13 ottobre 2022, n. 33 e del 14 aprile 2023, n. 16</w:t>
      </w:r>
      <w:r w:rsidR="005D3AD5" w:rsidRPr="00B676BE">
        <w:rPr>
          <w:rFonts w:ascii="Verdana" w:hAnsi="Verdana" w:cs="Calibri"/>
          <w:sz w:val="20"/>
          <w:szCs w:val="20"/>
        </w:rPr>
        <w:t xml:space="preserve">; dai Decreti del Ministero della </w:t>
      </w:r>
      <w:r w:rsidR="00B54D5A" w:rsidRPr="00B676BE">
        <w:rPr>
          <w:rFonts w:ascii="Verdana" w:hAnsi="Verdana" w:cs="Calibri"/>
          <w:sz w:val="20"/>
          <w:szCs w:val="20"/>
        </w:rPr>
        <w:t>t</w:t>
      </w:r>
      <w:r w:rsidR="005D3AD5" w:rsidRPr="00B676BE">
        <w:rPr>
          <w:rFonts w:ascii="Verdana" w:hAnsi="Verdana" w:cs="Calibri"/>
          <w:sz w:val="20"/>
          <w:szCs w:val="20"/>
        </w:rPr>
        <w:t xml:space="preserve">ransizione </w:t>
      </w:r>
      <w:r w:rsidR="00B54D5A" w:rsidRPr="00B676BE">
        <w:rPr>
          <w:rFonts w:ascii="Verdana" w:hAnsi="Verdana" w:cs="Calibri"/>
          <w:sz w:val="20"/>
          <w:szCs w:val="20"/>
        </w:rPr>
        <w:t>e</w:t>
      </w:r>
      <w:r w:rsidR="005D3AD5" w:rsidRPr="00B676BE">
        <w:rPr>
          <w:rFonts w:ascii="Verdana" w:hAnsi="Verdana" w:cs="Calibri"/>
          <w:sz w:val="20"/>
          <w:szCs w:val="20"/>
        </w:rPr>
        <w:t>cologica; nonché dalle pertinenti disposizioni di legge</w:t>
      </w:r>
      <w:r w:rsidR="002B60C9" w:rsidRPr="00B676BE">
        <w:rPr>
          <w:rFonts w:ascii="Verdana" w:hAnsi="Verdana" w:cs="Calibri"/>
          <w:sz w:val="20"/>
          <w:szCs w:val="20"/>
        </w:rPr>
        <w:t>;</w:t>
      </w:r>
    </w:p>
    <w:p w14:paraId="6F8BFF3F" w14:textId="4445D106" w:rsidR="002B60C9" w:rsidRPr="00B676BE" w:rsidRDefault="002B60C9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>che i dati riportati nell</w:t>
      </w:r>
      <w:r w:rsidR="00AD0E84">
        <w:rPr>
          <w:rFonts w:ascii="Verdana" w:hAnsi="Verdana" w:cs="Calibri"/>
          <w:sz w:val="20"/>
          <w:szCs w:val="20"/>
        </w:rPr>
        <w:t xml:space="preserve">e allegate </w:t>
      </w:r>
      <w:r w:rsidRPr="00B676BE">
        <w:rPr>
          <w:rFonts w:ascii="Verdana" w:hAnsi="Verdana" w:cs="Calibri"/>
          <w:sz w:val="20"/>
          <w:szCs w:val="20"/>
        </w:rPr>
        <w:t>“sched</w:t>
      </w:r>
      <w:r w:rsidR="00AD0E84">
        <w:rPr>
          <w:rFonts w:ascii="Verdana" w:hAnsi="Verdana" w:cs="Calibri"/>
          <w:sz w:val="20"/>
          <w:szCs w:val="20"/>
        </w:rPr>
        <w:t>e</w:t>
      </w:r>
      <w:r w:rsidRPr="00B676BE">
        <w:rPr>
          <w:rFonts w:ascii="Verdana" w:hAnsi="Verdana" w:cs="Calibri"/>
          <w:sz w:val="20"/>
          <w:szCs w:val="20"/>
        </w:rPr>
        <w:t xml:space="preserve"> </w:t>
      </w:r>
      <w:r w:rsidR="00AD0E84">
        <w:rPr>
          <w:rFonts w:ascii="Verdana" w:hAnsi="Verdana" w:cs="Calibri"/>
          <w:sz w:val="20"/>
          <w:szCs w:val="20"/>
        </w:rPr>
        <w:t>6 e 8</w:t>
      </w:r>
      <w:r w:rsidRPr="00B676BE">
        <w:rPr>
          <w:rFonts w:ascii="Verdana" w:hAnsi="Verdana" w:cs="Calibri"/>
          <w:sz w:val="20"/>
          <w:szCs w:val="20"/>
        </w:rPr>
        <w:t xml:space="preserve">”, </w:t>
      </w:r>
      <w:r w:rsidR="00AD0E84">
        <w:rPr>
          <w:rFonts w:ascii="Verdana" w:hAnsi="Verdana" w:cs="Calibri"/>
          <w:sz w:val="20"/>
          <w:szCs w:val="20"/>
        </w:rPr>
        <w:t>s</w:t>
      </w:r>
      <w:r w:rsidRPr="00B676BE">
        <w:rPr>
          <w:rFonts w:ascii="Verdana" w:hAnsi="Verdana" w:cs="Calibri"/>
          <w:sz w:val="20"/>
          <w:szCs w:val="20"/>
        </w:rPr>
        <w:t xml:space="preserve">ono rispondenti alle reali caratteristiche dei </w:t>
      </w:r>
      <w:r w:rsidR="00AD0E84">
        <w:rPr>
          <w:rFonts w:ascii="Verdana" w:hAnsi="Verdana" w:cs="Calibri"/>
          <w:sz w:val="20"/>
          <w:szCs w:val="20"/>
        </w:rPr>
        <w:t>servizi</w:t>
      </w:r>
      <w:r w:rsidRPr="00B676BE">
        <w:rPr>
          <w:rFonts w:ascii="Verdana" w:hAnsi="Verdana" w:cs="Calibri"/>
          <w:sz w:val="20"/>
          <w:szCs w:val="20"/>
        </w:rPr>
        <w:t xml:space="preserve"> offerti.</w:t>
      </w:r>
    </w:p>
    <w:p w14:paraId="6BB7EC6D" w14:textId="77777777" w:rsidR="009D45D1" w:rsidRPr="00B676BE" w:rsidRDefault="009D45D1" w:rsidP="009D45D1">
      <w:pPr>
        <w:pStyle w:val="Default"/>
        <w:spacing w:before="120" w:after="120"/>
        <w:ind w:left="770"/>
        <w:jc w:val="both"/>
        <w:rPr>
          <w:rFonts w:ascii="Verdana" w:hAnsi="Verdana" w:cs="Calibri"/>
          <w:sz w:val="20"/>
          <w:szCs w:val="20"/>
        </w:rPr>
      </w:pPr>
    </w:p>
    <w:p w14:paraId="2322A55F" w14:textId="5C4708BD" w:rsidR="00391DAF" w:rsidRPr="00B676BE" w:rsidRDefault="00391DAF" w:rsidP="00391DAF">
      <w:pPr>
        <w:jc w:val="center"/>
        <w:rPr>
          <w:rFonts w:ascii="Verdana" w:eastAsiaTheme="minorEastAsia" w:hAnsi="Verdana" w:cs="Times New Roman"/>
          <w:b/>
          <w:bCs/>
          <w:sz w:val="20"/>
          <w:szCs w:val="20"/>
        </w:rPr>
      </w:pPr>
      <w:r w:rsidRPr="00B676BE">
        <w:rPr>
          <w:rFonts w:ascii="Verdana" w:hAnsi="Verdana"/>
          <w:b/>
          <w:bCs/>
          <w:sz w:val="20"/>
          <w:szCs w:val="20"/>
        </w:rPr>
        <w:t xml:space="preserve">Scheda </w:t>
      </w:r>
      <w:r w:rsidR="00AD0E84">
        <w:rPr>
          <w:rFonts w:ascii="Verdana" w:hAnsi="Verdana"/>
          <w:b/>
          <w:bCs/>
          <w:sz w:val="20"/>
          <w:szCs w:val="20"/>
        </w:rPr>
        <w:t>6</w:t>
      </w:r>
      <w:r w:rsidRPr="00B676BE">
        <w:rPr>
          <w:rFonts w:ascii="Verdana" w:hAnsi="Verdana"/>
          <w:b/>
          <w:bCs/>
          <w:sz w:val="20"/>
          <w:szCs w:val="20"/>
        </w:rPr>
        <w:t xml:space="preserve"> allegata alla</w:t>
      </w:r>
      <w:r w:rsidRPr="00B676BE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hyperlink r:id="rId7" w:history="1">
        <w:r w:rsidRPr="00B676BE">
          <w:rPr>
            <w:rStyle w:val="Collegamentoipertestuale"/>
            <w:rFonts w:ascii="Verdana" w:eastAsiaTheme="minorEastAsia" w:hAnsi="Verdana"/>
            <w:b/>
            <w:bCs/>
            <w:sz w:val="20"/>
            <w:szCs w:val="20"/>
          </w:rPr>
          <w:t>circolare del MEF-RGS n. 33 del 13 ottobre 2022</w:t>
        </w:r>
      </w:hyperlink>
      <w:r w:rsidRPr="00B676BE">
        <w:rPr>
          <w:rFonts w:ascii="Verdana" w:eastAsiaTheme="minorEastAsia" w:hAnsi="Verdana" w:cs="Times New Roman"/>
          <w:b/>
          <w:bCs/>
          <w:sz w:val="20"/>
          <w:szCs w:val="20"/>
        </w:rPr>
        <w:t xml:space="preserve"> </w:t>
      </w:r>
    </w:p>
    <w:p w14:paraId="032EEB2F" w14:textId="53BAE73C" w:rsidR="00391DAF" w:rsidRPr="00B676BE" w:rsidRDefault="00AD0E84" w:rsidP="00391DAF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Servizi informatici di hosting e cloud</w:t>
      </w:r>
      <w:r w:rsidR="00F62593">
        <w:rPr>
          <w:rFonts w:ascii="Verdana" w:hAnsi="Verdana"/>
          <w:b/>
          <w:bCs/>
          <w:sz w:val="20"/>
          <w:szCs w:val="20"/>
        </w:rPr>
        <w:t xml:space="preserve"> – Data Center</w:t>
      </w:r>
    </w:p>
    <w:p w14:paraId="54E93DA6" w14:textId="77777777" w:rsidR="00391DAF" w:rsidRPr="00B676BE" w:rsidRDefault="00391DAF" w:rsidP="00391DAF">
      <w:pPr>
        <w:jc w:val="center"/>
        <w:rPr>
          <w:rFonts w:ascii="Verdana" w:hAnsi="Verdana"/>
          <w:b/>
          <w:bCs/>
          <w:sz w:val="20"/>
          <w:szCs w:val="20"/>
        </w:rPr>
      </w:pPr>
      <w:r w:rsidRPr="00B676BE">
        <w:rPr>
          <w:rFonts w:ascii="Verdana" w:hAnsi="Verdana"/>
          <w:b/>
          <w:bCs/>
          <w:sz w:val="20"/>
          <w:szCs w:val="20"/>
        </w:rPr>
        <w:lastRenderedPageBreak/>
        <w:t>Verifiche e controlli da condurre per garantire il principio DNSH</w:t>
      </w:r>
    </w:p>
    <w:p w14:paraId="2BCCCCE4" w14:textId="738F89AE" w:rsidR="00391DAF" w:rsidRDefault="00391DAF" w:rsidP="00391DAF">
      <w:pPr>
        <w:rPr>
          <w:rFonts w:ascii="Verdana" w:hAnsi="Verdana"/>
          <w:sz w:val="20"/>
          <w:szCs w:val="20"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68"/>
        <w:gridCol w:w="1229"/>
        <w:gridCol w:w="1227"/>
        <w:gridCol w:w="2630"/>
        <w:gridCol w:w="1283"/>
        <w:gridCol w:w="2165"/>
      </w:tblGrid>
      <w:tr w:rsidR="00AD0E84" w:rsidRPr="00AD0E84" w14:paraId="5D1642B4" w14:textId="77777777" w:rsidTr="00AD0E84">
        <w:trPr>
          <w:trHeight w:val="372"/>
        </w:trPr>
        <w:tc>
          <w:tcPr>
            <w:tcW w:w="9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bottom"/>
            <w:hideMark/>
          </w:tcPr>
          <w:p w14:paraId="6F564EB4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AD0E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 w:eastAsia="it-IT"/>
              </w:rPr>
              <w:t>Scheda  6</w:t>
            </w:r>
            <w:proofErr w:type="gramEnd"/>
            <w:r w:rsidRPr="00AD0E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 w:eastAsia="it-IT"/>
              </w:rPr>
              <w:t xml:space="preserve"> - Servizi informatici di hosting e cloud  </w:t>
            </w:r>
          </w:p>
        </w:tc>
      </w:tr>
      <w:tr w:rsidR="00AD0E84" w:rsidRPr="00AD0E84" w14:paraId="4CB86654" w14:textId="77777777" w:rsidTr="00AD0E84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9E236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DE5" w14:textId="77777777" w:rsidR="00AD0E84" w:rsidRPr="00AD0E84" w:rsidRDefault="00AD0E84" w:rsidP="00A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96" w14:textId="77777777" w:rsidR="00AD0E84" w:rsidRPr="00AD0E84" w:rsidRDefault="00AD0E84" w:rsidP="00A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0E87" w14:textId="77777777" w:rsidR="00AD0E84" w:rsidRPr="00AD0E84" w:rsidRDefault="00AD0E84" w:rsidP="00A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830" w14:textId="77777777" w:rsidR="00AD0E84" w:rsidRPr="00AD0E84" w:rsidRDefault="00AD0E84" w:rsidP="00A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9766D" w14:textId="77777777" w:rsidR="00AD0E84" w:rsidRPr="00AD0E84" w:rsidRDefault="00AD0E84" w:rsidP="00A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2E42" w14:textId="77777777" w:rsidR="00AD0E84" w:rsidRPr="00AD0E84" w:rsidRDefault="00AD0E84" w:rsidP="00A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AD0E84" w:rsidRPr="00AD0E84" w14:paraId="349554A7" w14:textId="77777777" w:rsidTr="00AD0E84">
        <w:trPr>
          <w:trHeight w:val="315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81E0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Verifiche e controlli da condurre per garantire il principio DNSH</w:t>
            </w:r>
          </w:p>
        </w:tc>
      </w:tr>
      <w:tr w:rsidR="00AD0E84" w:rsidRPr="00AD0E84" w14:paraId="411B5F42" w14:textId="77777777" w:rsidTr="00AD0E84">
        <w:trPr>
          <w:trHeight w:val="73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D622F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Tempo di svolgimento delle verifiche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0C84E8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508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39E56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Elemento di controllo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E0BDB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Esito</w:t>
            </w:r>
            <w:r w:rsidRPr="00AD0E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br/>
              <w:t xml:space="preserve"> (Sì/No/Non applicabile)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499665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Commento (obbigatorio in caso di N/A)</w:t>
            </w:r>
          </w:p>
        </w:tc>
      </w:tr>
      <w:tr w:rsidR="00AD0E84" w:rsidRPr="00AD0E84" w14:paraId="6237474D" w14:textId="77777777" w:rsidTr="00AD0E84">
        <w:trPr>
          <w:trHeight w:val="829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223427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Ex-ante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975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0.1</w:t>
            </w:r>
          </w:p>
        </w:tc>
        <w:tc>
          <w:tcPr>
            <w:tcW w:w="5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673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E'</w:t>
            </w:r>
            <w:proofErr w:type="gramEnd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 xml:space="preserve"> disponibile una Certificazione di sistema di gestione ambientale di tipo ISO 14001 o EMAS rilasciata sotto accreditamento?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56A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122F8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3E9B2C1C" w14:textId="77777777" w:rsidTr="00AD0E84">
        <w:trPr>
          <w:trHeight w:val="31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7528D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9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E6D58B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Il requisito 0.1 verifica il rispetto del principio DNSH in maniera trasversale per tutti gli obiettivi ambientali rilevanti. Nel caso in cui questo non fosse disponibie, rispondere ai punti successivi</w:t>
            </w:r>
          </w:p>
        </w:tc>
      </w:tr>
      <w:tr w:rsidR="00AD0E84" w:rsidRPr="00AD0E84" w14:paraId="3FD07008" w14:textId="77777777" w:rsidTr="00AD0E84">
        <w:trPr>
          <w:trHeight w:val="349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7F653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9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B1CB49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In un primo momento l'elemento di verifica al punto 1 rimpiazzerà gli elementi di verifica ai punti 2, </w:t>
            </w:r>
            <w:proofErr w:type="gramStart"/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3  o</w:t>
            </w:r>
            <w:proofErr w:type="gramEnd"/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4</w:t>
            </w:r>
          </w:p>
        </w:tc>
      </w:tr>
      <w:tr w:rsidR="00AD0E84" w:rsidRPr="00AD0E84" w14:paraId="7852357A" w14:textId="77777777" w:rsidTr="00AD0E84">
        <w:trPr>
          <w:trHeight w:val="829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6CBCF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E88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5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214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Le nuove apparecchiature IT acquistate per i data center che ospitano i servizi di hosting e cloud sono certificate secondo lo standard internazionale sull’efficienza energetica EneryStar, o equivalente?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55C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A47D3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14A14704" w14:textId="77777777" w:rsidTr="00AD0E84">
        <w:trPr>
          <w:trHeight w:val="30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A82A2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D23753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I punti 2, 3 e 4 sono alternativi</w:t>
            </w:r>
          </w:p>
        </w:tc>
      </w:tr>
      <w:tr w:rsidR="00AD0E84" w:rsidRPr="00AD0E84" w14:paraId="72C7694B" w14:textId="77777777" w:rsidTr="00AD0E84">
        <w:trPr>
          <w:trHeight w:val="138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E3275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95A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A09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Sono stati svolti degli studi di fattibilità per l’implementazione e il rispetto di tutte le “pratiche attese” incluse nella versione più recente del codice di condotta europeo sull’efficienza energetica dei centri dati e hanno attuato tutte le pratiche attese a cui è stato assegnato il valore massimo di 5?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B06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06AA0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5F5FC537" w14:textId="77777777" w:rsidTr="00AD0E84">
        <w:trPr>
          <w:trHeight w:val="118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F5509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E99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5BE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I data center che ospitano i servizi di hosting e cloud aderiscono alle pratiche raccomandate contenute nel CEN-CENELEC documento CLC TR50600-99-1 "Data centre facilities and infrastructures- Part 99-</w:t>
            </w:r>
            <w:proofErr w:type="gramStart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1 :</w:t>
            </w:r>
            <w:proofErr w:type="gramEnd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 xml:space="preserve"> Recommended practices for energy management?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B8E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95C89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1F811B63" w14:textId="77777777" w:rsidTr="00AD0E84">
        <w:trPr>
          <w:trHeight w:val="942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DB9D3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D49B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903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Sono rispettati tutti i Criteri dell'UE applicabili in materia di appalti pubblici verdi per i centri dati, le sale server e servizi cloud e fornite le relative prove di verifica?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59A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02CC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3F165733" w14:textId="77777777" w:rsidTr="00AD0E84">
        <w:trPr>
          <w:trHeight w:val="55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45F2F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6D15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4C2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I data center che ospitano i servizi di hosting e cloud hanno un piano di gestione dei rifiuti?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00F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1B128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3157854C" w14:textId="77777777" w:rsidTr="00AD0E84">
        <w:trPr>
          <w:trHeight w:val="30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C092E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99918C1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Nel caso in cui fosse verificato il punto 4, i punti 6, 7 e 8 si ritengono automaticamente verificati</w:t>
            </w:r>
          </w:p>
        </w:tc>
      </w:tr>
      <w:tr w:rsidR="00AD0E84" w:rsidRPr="00AD0E84" w14:paraId="116A2437" w14:textId="77777777" w:rsidTr="00AD0E84">
        <w:trPr>
          <w:trHeight w:val="165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17EA4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EBD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5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53D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E'</w:t>
            </w:r>
            <w:proofErr w:type="gramEnd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 xml:space="preserve"> disponibile una dichiarazione dei produttori/fornitori di conformità alla seguente normativa: ecodesign (Regolamento (EU) 2019/424) considerato che la conformità alle normative può essere dimostrata anche tramite il sistema di gestione ISO 30134:2016 certificato da organismi di certificazione accreditati?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110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85CBB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07D6FD08" w14:textId="77777777" w:rsidTr="00AD0E84">
        <w:trPr>
          <w:trHeight w:val="208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C00E3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310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B69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E'</w:t>
            </w:r>
            <w:proofErr w:type="gramEnd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 xml:space="preserve"> disponibile la comunicazione del calcolo della media ponderata del potenziale di riscaldamento globale, anche per l'inventario dei refrigeranti utilizzati nei siti o per fornire il servizio, e dimostrazione dell’aderenza al metodo descritto nell'allegato IV del regolamento (UE) n. 517/2014? In laternativa, è presente sistema di gestione dell'energia (norma ISO 50001), che sia certificato da organismi di certificazione della conformità e riporti l'uso di refrigeranti;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284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384B6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02B49ADC" w14:textId="77777777" w:rsidTr="00AD0E84">
        <w:trPr>
          <w:trHeight w:val="187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5D740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45A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9C1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La conformità delle apparecchiature dei data center è autocertificata dal produttore/fornitore tramite una dichiarazione resa ai sensi del D.P.R. n. 445/2000, adeguandosi alla seguente normativa: REACH (Regolamento (CE) n.1907/2006); RoHS (Direttiva 2011/65/EU e ss.m.i.); compatibilità elettromagnetica (Direttiva 2014/30/UE) (la conformità alla norma RoHS può essere dimostrata applicando la norma EN IEC 63000:2018)?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86A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DDFEF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AD0E84" w:rsidRPr="00AD0E84" w14:paraId="6AACE407" w14:textId="77777777" w:rsidTr="00AD0E84">
        <w:trPr>
          <w:trHeight w:val="379"/>
        </w:trPr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A5A4E3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lang w:val="it-IT" w:eastAsia="it-IT"/>
              </w:rPr>
              <w:t>Ex-post</w:t>
            </w:r>
          </w:p>
        </w:tc>
        <w:tc>
          <w:tcPr>
            <w:tcW w:w="89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B396CC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i/>
                <w:iCs/>
                <w:color w:val="000000"/>
                <w:lang w:val="it-IT" w:eastAsia="it-IT"/>
              </w:rPr>
              <w:t>In un primo momento l'elemento di verifica al punto 9 rimpiazzerà l'elemento di verifica al punto 10</w:t>
            </w:r>
          </w:p>
        </w:tc>
      </w:tr>
      <w:tr w:rsidR="00AD0E84" w:rsidRPr="00AD0E84" w14:paraId="48A304C6" w14:textId="77777777" w:rsidTr="00C71C8B">
        <w:trPr>
          <w:trHeight w:val="882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4CB2B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F64F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lang w:val="it-IT" w:eastAsia="it-IT"/>
              </w:rPr>
              <w:t>9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554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 xml:space="preserve">Sono stati attuati i criteri di esecuzione del contratto così come definiti dai Criteri dell'UE in materia di appalti pubblici verdi per i centri dati, le sale server e i servizi </w:t>
            </w:r>
            <w:proofErr w:type="gramStart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cloud  nel</w:t>
            </w:r>
            <w:proofErr w:type="gramEnd"/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 xml:space="preserve"> Documento di Lavoro dei servizi della Commissione e sono disponibili le relative prove di verifica?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CEF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A595C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AD0E84" w:rsidRPr="00AD0E84" w14:paraId="67989665" w14:textId="77777777" w:rsidTr="00AD0E84">
        <w:trPr>
          <w:trHeight w:val="1092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AFE91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C3F7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lang w:val="it-IT" w:eastAsia="it-IT"/>
              </w:rPr>
              <w:t>10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28D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L’adesione al European Code of Conduct for Data Centre Energy Efficiency o l’attuazione delle pratiche attese in esso descritte (o nel documento CEN- CENELEC CLC TR50600-99-1 Data centre facilities and infrastructures - Part 99-1: Recommended practices for energy management) è stata verificata da una parte terza indipendente ed è stato svolto un audit almeno ogni tre anni?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16D" w14:textId="77777777" w:rsidR="00AD0E84" w:rsidRPr="00AD0E84" w:rsidRDefault="00AD0E84" w:rsidP="00AD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E5325" w14:textId="77777777" w:rsidR="00AD0E84" w:rsidRPr="00AD0E84" w:rsidRDefault="00AD0E84" w:rsidP="00AD0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D0E8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</w:tbl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022"/>
      </w:tblGrid>
      <w:tr w:rsidR="00C71C8B" w:rsidRPr="00B676BE" w14:paraId="33C2D0A6" w14:textId="77777777" w:rsidTr="009D1BDD">
        <w:tc>
          <w:tcPr>
            <w:tcW w:w="9967" w:type="dxa"/>
            <w:gridSpan w:val="2"/>
          </w:tcPr>
          <w:p w14:paraId="1B400AA1" w14:textId="77777777" w:rsidR="00C71C8B" w:rsidRDefault="00C71C8B" w:rsidP="00B14E24">
            <w:pPr>
              <w:spacing w:after="120"/>
              <w:jc w:val="center"/>
              <w:rPr>
                <w:rFonts w:ascii="Verdana" w:hAnsi="Verdana" w:cstheme="minorHAnsi"/>
                <w:lang w:val="it-IT"/>
              </w:rPr>
            </w:pPr>
          </w:p>
          <w:tbl>
            <w:tblPr>
              <w:tblW w:w="97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466"/>
              <w:gridCol w:w="768"/>
              <w:gridCol w:w="892"/>
              <w:gridCol w:w="2465"/>
              <w:gridCol w:w="1677"/>
              <w:gridCol w:w="2213"/>
            </w:tblGrid>
            <w:tr w:rsidR="00C71C8B" w:rsidRPr="00C71C8B" w14:paraId="6BE5E57C" w14:textId="77777777" w:rsidTr="00C71C8B">
              <w:trPr>
                <w:trHeight w:val="372"/>
              </w:trPr>
              <w:tc>
                <w:tcPr>
                  <w:tcW w:w="9746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CE4D6"/>
                  <w:vAlign w:val="bottom"/>
                  <w:hideMark/>
                </w:tcPr>
                <w:p w14:paraId="4F4D84A1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it-IT" w:eastAsia="it-IT"/>
                    </w:rPr>
                  </w:pPr>
                  <w:proofErr w:type="gramStart"/>
                  <w:r w:rsidRPr="00C71C8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it-IT" w:eastAsia="it-IT"/>
                    </w:rPr>
                    <w:t>Scheda  8</w:t>
                  </w:r>
                  <w:proofErr w:type="gramEnd"/>
                  <w:r w:rsidRPr="00C71C8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it-IT" w:eastAsia="it-IT"/>
                    </w:rPr>
                    <w:t xml:space="preserve"> - Data center</w:t>
                  </w:r>
                </w:p>
              </w:tc>
            </w:tr>
            <w:tr w:rsidR="00C71C8B" w:rsidRPr="00C71C8B" w14:paraId="6B99ECD4" w14:textId="77777777" w:rsidTr="00C71C8B">
              <w:trPr>
                <w:trHeight w:val="300"/>
              </w:trPr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A1AD7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7E1BA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B8B63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F47AF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DBBA5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94962F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29139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C71C8B" w:rsidRPr="00C71C8B" w14:paraId="516E015F" w14:textId="77777777" w:rsidTr="00C71C8B">
              <w:trPr>
                <w:trHeight w:val="315"/>
              </w:trPr>
              <w:tc>
                <w:tcPr>
                  <w:tcW w:w="974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F78E8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val="it-IT" w:eastAsia="it-IT"/>
                    </w:rPr>
                    <w:t>Verifiche e controlli da condurre per garantire il principio DNSH</w:t>
                  </w:r>
                </w:p>
              </w:tc>
            </w:tr>
            <w:tr w:rsidR="00C71C8B" w:rsidRPr="00C71C8B" w14:paraId="049A14B0" w14:textId="77777777" w:rsidTr="00C71C8B">
              <w:trPr>
                <w:trHeight w:val="915"/>
              </w:trPr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4376FFC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  <w:t>Tempo di svolgimento delle verifiche</w:t>
                  </w:r>
                </w:p>
              </w:tc>
              <w:tc>
                <w:tcPr>
                  <w:tcW w:w="46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CFBB2F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  <w:t>n.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54CF376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  <w:t>Elemento di controllo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424B33B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  <w:t>Esito</w:t>
                  </w:r>
                  <w:r w:rsidRPr="00C71C8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  <w:br/>
                    <w:t xml:space="preserve"> (Sì/No/Non applicabile)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EFCD59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it-IT" w:eastAsia="it-IT"/>
                    </w:rPr>
                    <w:t>Commento (obbigatorio in caso di N/A)</w:t>
                  </w:r>
                </w:p>
              </w:tc>
            </w:tr>
            <w:tr w:rsidR="00C71C8B" w:rsidRPr="00C71C8B" w14:paraId="75A3828A" w14:textId="77777777" w:rsidTr="00C71C8B">
              <w:trPr>
                <w:trHeight w:val="1602"/>
              </w:trPr>
              <w:tc>
                <w:tcPr>
                  <w:tcW w:w="12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61864D4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Ex-ante</w:t>
                  </w:r>
                </w:p>
              </w:tc>
              <w:tc>
                <w:tcPr>
                  <w:tcW w:w="4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0D809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1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C7B88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E' disponibile una comunicazione del calcolo della media ponderata del potenziale di riscaldamento globale , anche per l'inventario dei refrigeranti utilizzati nei siti o per fornire il servizio, e dimostrazione dell’aderenza al metodo descritto nell'allegato IV del regolamento (UE) n. 517/2014, e al limite di 675 (anche un sistema di gestione dell'energia (norma ISO 50001) o un sistema di gestione ambientale (sistema EMAS o norma ISO 14001) che riportino l'uso di refrigeranti e siano verificati da terzi possono essere accettati come prova)?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BD4F7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5E94A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36883C0C" w14:textId="77777777" w:rsidTr="00C71C8B">
              <w:trPr>
                <w:trHeight w:val="300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D3CCFD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84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46BCC46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val="it-IT" w:eastAsia="it-IT"/>
                    </w:rPr>
                    <w:t>i punti 2, 3 e 4 sono alternativi</w:t>
                  </w:r>
                </w:p>
              </w:tc>
            </w:tr>
            <w:tr w:rsidR="00C71C8B" w:rsidRPr="00C71C8B" w14:paraId="64EA2839" w14:textId="77777777" w:rsidTr="00C71C8B">
              <w:trPr>
                <w:trHeight w:val="1092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746F0E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525A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2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17E8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 xml:space="preserve">I data center dimostrano la partecipazione aggiornata al European Code of Conduct for Data Center Energy Efficiency, fornendo un modulo </w:t>
                  </w:r>
                  <w:proofErr w:type="gramStart"/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compilato  che</w:t>
                  </w:r>
                  <w:proofErr w:type="gramEnd"/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 xml:space="preserve"> descriva lo status di attuazione delle migliori prassi previste, ricomprese nella versione più aggiornata del Best Practice Guidelines for the European Code of Conduct for Data Centre Energy Efficiency »?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F2614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4B9D5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3D3D1975" w14:textId="77777777" w:rsidTr="00C71C8B">
              <w:trPr>
                <w:trHeight w:val="1020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5F8B0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23395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3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1A515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I data center aderiscono alle pratiche raccomandate contenute nel CEN-CENELEC documento CLC TR50600-99-1 "Data centre facilities and infrastructures- Part 99-</w:t>
                  </w:r>
                  <w:proofErr w:type="gramStart"/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1 :</w:t>
                  </w:r>
                  <w:proofErr w:type="gramEnd"/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 xml:space="preserve"> Recommended practices for energy management?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6FB2F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F0AC6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2E923D64" w14:textId="77777777" w:rsidTr="00C71C8B">
              <w:trPr>
                <w:trHeight w:val="942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67AF0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7366F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4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013DE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Sono rispettati tutti i Criteri dell'UE applicabili in materia di appalti pubblici verdi per i centri dati, le sale server e servizi cloud?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719CC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55B09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6C42F33F" w14:textId="77777777" w:rsidTr="00C71C8B">
              <w:trPr>
                <w:trHeight w:val="300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49E5FE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11C0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5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AA95F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I data center hanno un piano di gestione dei rifiuti?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08B4F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D41D3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17E8CA45" w14:textId="77777777" w:rsidTr="00C71C8B">
              <w:trPr>
                <w:trHeight w:val="300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AAF8C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84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00AD6AD9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val="it-IT" w:eastAsia="it-IT"/>
                    </w:rPr>
                    <w:t>Nel caso in cui fosse verificato il punto 4, i punti 6 e 7 si ritengono automaticamente verificati</w:t>
                  </w:r>
                </w:p>
              </w:tc>
            </w:tr>
            <w:tr w:rsidR="00C71C8B" w:rsidRPr="00C71C8B" w14:paraId="780745E5" w14:textId="77777777" w:rsidTr="00C71C8B">
              <w:trPr>
                <w:trHeight w:val="979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A47ED3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24E1D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6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B8E7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proofErr w:type="gramStart"/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E'</w:t>
                  </w:r>
                  <w:proofErr w:type="gramEnd"/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 xml:space="preserve"> disponibile una dichiarazione dei produttori/fornitori di conformità alla seguente normativa: ecodesign (Regolamento (EU) 2019/424) considerato che la conformità alle normative può essere dimostrata anche tramite il sistema di gestione ISO 30134:2016 certificato da organismi di certificazione accreditati?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4721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90164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49B49E0F" w14:textId="77777777" w:rsidTr="00C71C8B">
              <w:trPr>
                <w:trHeight w:val="1579"/>
              </w:trPr>
              <w:tc>
                <w:tcPr>
                  <w:tcW w:w="12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1169F6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AE14E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7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262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La conformità delle apparecchiature dei data center è autocertificata dal produttore/fornitore tramite una dichiarazione resa ai sensi del D.P.R. n. 445/2000, adeguandosi alla seguente normativa: REACH (Regolamento (CE) n.1907/2006); RoHS (Direttiva 2011/65/EU e ss.m.i.); compatibilità elettromagnetica (Direttiva 2014/30/UE) (la conformità alla norma RoHS può essere dimostrata applicando la norma EN IEC 63000:2018)?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DB40C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13E6D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3AC28786" w14:textId="77777777" w:rsidTr="00C71C8B">
              <w:trPr>
                <w:trHeight w:val="379"/>
              </w:trPr>
              <w:tc>
                <w:tcPr>
                  <w:tcW w:w="12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312083B6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Ex-post</w:t>
                  </w:r>
                </w:p>
              </w:tc>
              <w:tc>
                <w:tcPr>
                  <w:tcW w:w="8484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4769A3ED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val="it-IT" w:eastAsia="it-IT"/>
                    </w:rPr>
                    <w:t>I punti 8 e 9 sono alternativi</w:t>
                  </w:r>
                </w:p>
              </w:tc>
            </w:tr>
            <w:tr w:rsidR="00C71C8B" w:rsidRPr="00C71C8B" w14:paraId="1304380A" w14:textId="77777777" w:rsidTr="00C71C8B">
              <w:trPr>
                <w:trHeight w:val="882"/>
              </w:trPr>
              <w:tc>
                <w:tcPr>
                  <w:tcW w:w="12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60402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4A2E2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8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98FFE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Sono rispettate tutte le indicazioni definite nei Criteri dell'UE in materia di appalti pubblici verdi per i centri dati, le sale server e i servizi cloud della Commissione Europea applicabili e sono disponibili le relative prove di verifica?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DF96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F4EF1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  <w:tr w:rsidR="00C71C8B" w:rsidRPr="00C71C8B" w14:paraId="64F9EAFD" w14:textId="77777777" w:rsidTr="00C71C8B">
              <w:trPr>
                <w:trHeight w:val="1092"/>
              </w:trPr>
              <w:tc>
                <w:tcPr>
                  <w:tcW w:w="12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E68BDC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0418D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9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F94C3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L’adesione al European Code of Conduct for Data Centre Energy Efficiency o l’attuazione delle pratiche attese in esso descritte (o nel documento CEN- CENELEC CLC TR50600-99-1 Data centre facilities and infrastructures - Part 99-1: Recommended practices for energy management) è stata verificata da una parte terza indipendente ed è stato svolto un audit almeno ogni tre anni?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AF52D" w14:textId="77777777" w:rsidR="00C71C8B" w:rsidRPr="00C71C8B" w:rsidRDefault="00C71C8B" w:rsidP="00C71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it-IT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C8E40" w14:textId="77777777" w:rsidR="00C71C8B" w:rsidRPr="00C71C8B" w:rsidRDefault="00C71C8B" w:rsidP="00C71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</w:pPr>
                  <w:r w:rsidRPr="00C71C8B">
                    <w:rPr>
                      <w:rFonts w:ascii="Calibri" w:eastAsia="Times New Roman" w:hAnsi="Calibri" w:cs="Calibri"/>
                      <w:color w:val="000000"/>
                      <w:lang w:val="it-IT" w:eastAsia="it-IT"/>
                    </w:rPr>
                    <w:t> </w:t>
                  </w:r>
                </w:p>
              </w:tc>
            </w:tr>
          </w:tbl>
          <w:p w14:paraId="02E485A1" w14:textId="77777777" w:rsidR="00C71C8B" w:rsidRDefault="00C71C8B" w:rsidP="00C71C8B">
            <w:pPr>
              <w:spacing w:after="120"/>
              <w:rPr>
                <w:rFonts w:ascii="Verdana" w:hAnsi="Verdana" w:cstheme="minorHAnsi"/>
                <w:lang w:val="it-IT"/>
              </w:rPr>
            </w:pPr>
          </w:p>
          <w:p w14:paraId="13E71B60" w14:textId="77777777" w:rsidR="00C71C8B" w:rsidRDefault="00C71C8B" w:rsidP="00B14E24">
            <w:pPr>
              <w:spacing w:after="120"/>
              <w:jc w:val="center"/>
              <w:rPr>
                <w:rFonts w:ascii="Verdana" w:hAnsi="Verdana" w:cstheme="minorHAnsi"/>
                <w:lang w:val="it-IT"/>
              </w:rPr>
            </w:pPr>
          </w:p>
          <w:p w14:paraId="7BEC4FEA" w14:textId="014C3414" w:rsidR="00C71C8B" w:rsidRPr="00B676BE" w:rsidRDefault="00F62593" w:rsidP="00F62593">
            <w:pPr>
              <w:spacing w:after="120"/>
              <w:rPr>
                <w:rFonts w:ascii="Verdana" w:hAnsi="Verdana" w:cstheme="minorHAnsi"/>
                <w:lang w:val="it-IT"/>
              </w:rPr>
            </w:pPr>
            <w:r>
              <w:rPr>
                <w:rFonts w:ascii="Verdana" w:hAnsi="Verdana" w:cstheme="minorHAnsi"/>
                <w:lang w:val="it-IT"/>
              </w:rPr>
              <w:t xml:space="preserve">                                Data                                                     Il di</w:t>
            </w:r>
            <w:r w:rsidR="00C71C8B" w:rsidRPr="00B676BE">
              <w:rPr>
                <w:rFonts w:ascii="Verdana" w:hAnsi="Verdana" w:cstheme="minorHAnsi"/>
                <w:lang w:val="it-IT"/>
              </w:rPr>
              <w:t>chiarante</w:t>
            </w:r>
          </w:p>
        </w:tc>
      </w:tr>
      <w:tr w:rsidR="00391DAF" w:rsidRPr="00B676BE" w14:paraId="5489AC34" w14:textId="77777777" w:rsidTr="00B14E24">
        <w:tc>
          <w:tcPr>
            <w:tcW w:w="4986" w:type="dxa"/>
          </w:tcPr>
          <w:p w14:paraId="53CB47E5" w14:textId="77777777" w:rsidR="00391DAF" w:rsidRPr="00B676BE" w:rsidRDefault="00391DAF" w:rsidP="00B14E24">
            <w:pPr>
              <w:spacing w:after="120"/>
              <w:jc w:val="center"/>
              <w:rPr>
                <w:rFonts w:ascii="Verdana" w:hAnsi="Verdana" w:cstheme="minorHAnsi"/>
                <w:lang w:val="it-IT"/>
              </w:rPr>
            </w:pPr>
            <w:r w:rsidRPr="00B676BE">
              <w:rPr>
                <w:rFonts w:ascii="Verdana" w:hAnsi="Verdana" w:cstheme="minorHAnsi"/>
                <w:lang w:val="it-IT"/>
              </w:rPr>
              <w:lastRenderedPageBreak/>
              <w:t>_____________________________</w:t>
            </w:r>
          </w:p>
        </w:tc>
        <w:tc>
          <w:tcPr>
            <w:tcW w:w="4981" w:type="dxa"/>
          </w:tcPr>
          <w:p w14:paraId="389202FE" w14:textId="77777777" w:rsidR="00391DAF" w:rsidRPr="00B676BE" w:rsidRDefault="00391DAF" w:rsidP="00B14E24">
            <w:pPr>
              <w:spacing w:after="120"/>
              <w:jc w:val="center"/>
              <w:rPr>
                <w:rFonts w:ascii="Verdana" w:hAnsi="Verdana" w:cstheme="minorHAnsi"/>
                <w:lang w:val="it-IT"/>
              </w:rPr>
            </w:pPr>
            <w:r w:rsidRPr="00B676BE">
              <w:rPr>
                <w:rFonts w:ascii="Verdana" w:hAnsi="Verdana" w:cstheme="minorHAnsi"/>
                <w:lang w:val="it-IT"/>
              </w:rPr>
              <w:t>______________________________</w:t>
            </w:r>
          </w:p>
        </w:tc>
      </w:tr>
    </w:tbl>
    <w:p w14:paraId="298B608D" w14:textId="1FE1AE88" w:rsidR="00391DAF" w:rsidRPr="00B676BE" w:rsidRDefault="00391DAF" w:rsidP="00391DAF">
      <w:pPr>
        <w:rPr>
          <w:rFonts w:ascii="Verdana" w:hAnsi="Verdana"/>
          <w:sz w:val="20"/>
          <w:szCs w:val="20"/>
        </w:rPr>
      </w:pPr>
    </w:p>
    <w:p w14:paraId="2FF16901" w14:textId="53353173" w:rsidR="00391DAF" w:rsidRPr="00B676BE" w:rsidRDefault="00234E56" w:rsidP="00391DAF">
      <w:pPr>
        <w:rPr>
          <w:rFonts w:ascii="Verdana" w:hAnsi="Verdana"/>
          <w:sz w:val="20"/>
          <w:szCs w:val="20"/>
        </w:rPr>
      </w:pPr>
      <w:r w:rsidRPr="00B676BE">
        <w:rPr>
          <w:rFonts w:ascii="Verdana" w:eastAsia="Calibri" w:hAnsi="Verdana" w:cs="Times New Roman"/>
          <w:b/>
          <w:i/>
          <w:sz w:val="20"/>
          <w:szCs w:val="20"/>
        </w:rPr>
        <w:lastRenderedPageBreak/>
        <w:t>N.B.: Ai fini della validità della presente dichiarazione deve essere allegata la fotocopia non autenticata di un documento di identità del sottoscrittore.</w:t>
      </w:r>
    </w:p>
    <w:p w14:paraId="45BEA8E3" w14:textId="14D76799" w:rsidR="00391DAF" w:rsidRPr="00B676BE" w:rsidRDefault="00391DAF" w:rsidP="00391DAF">
      <w:pPr>
        <w:rPr>
          <w:rFonts w:ascii="Verdana" w:hAnsi="Verdana"/>
          <w:sz w:val="20"/>
          <w:szCs w:val="20"/>
        </w:rPr>
      </w:pPr>
    </w:p>
    <w:p w14:paraId="60431906" w14:textId="7EA6CBE4" w:rsidR="00391DAF" w:rsidRPr="00B676BE" w:rsidRDefault="00BC1BF9" w:rsidP="00391DAF">
      <w:pPr>
        <w:rPr>
          <w:rFonts w:ascii="Verdana" w:hAnsi="Verdana"/>
          <w:sz w:val="20"/>
          <w:szCs w:val="20"/>
        </w:rPr>
      </w:pPr>
      <w:r w:rsidRPr="00B676BE">
        <w:rPr>
          <w:rFonts w:ascii="Verdana" w:hAnsi="Verdana" w:cs="Calibri"/>
          <w:sz w:val="20"/>
          <w:szCs w:val="20"/>
        </w:rPr>
        <w:t>NB: In alternativa Il documento potrà essere sottoscritto con firma digitale dal legale rappresentante del concorrente (o da persona munita da comprovati poteri di firma)</w:t>
      </w:r>
    </w:p>
    <w:p w14:paraId="2F8826FB" w14:textId="48189AB5" w:rsidR="00391DAF" w:rsidRPr="00ED5B01" w:rsidRDefault="00391DAF" w:rsidP="00391DAF"/>
    <w:sectPr w:rsidR="00391DAF" w:rsidRPr="00ED5B01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C56B" w14:textId="77777777" w:rsidR="00064F08" w:rsidRDefault="00064F08" w:rsidP="008C2AE9">
      <w:pPr>
        <w:spacing w:after="0" w:line="240" w:lineRule="auto"/>
      </w:pPr>
      <w:r>
        <w:separator/>
      </w:r>
    </w:p>
  </w:endnote>
  <w:endnote w:type="continuationSeparator" w:id="0">
    <w:p w14:paraId="14EB16B8" w14:textId="77777777" w:rsidR="00064F08" w:rsidRDefault="00064F08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2BD089C1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C1BF9" w:rsidRPr="00BC1BF9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6E7C0967" w:rsidR="00B37C78" w:rsidRPr="00170164" w:rsidRDefault="00AD0E84">
    <w:pPr>
      <w:pStyle w:val="Pidipagina"/>
      <w:rPr>
        <w:lang w:val="it-IT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781A4F6" wp14:editId="33A2449D">
          <wp:simplePos x="0" y="0"/>
          <wp:positionH relativeFrom="page">
            <wp:posOffset>720090</wp:posOffset>
          </wp:positionH>
          <wp:positionV relativeFrom="paragraph">
            <wp:posOffset>171450</wp:posOffset>
          </wp:positionV>
          <wp:extent cx="6177915" cy="361950"/>
          <wp:effectExtent l="0" t="0" r="0" b="0"/>
          <wp:wrapTopAndBottom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91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F138" w14:textId="77777777" w:rsidR="00064F08" w:rsidRDefault="00064F08" w:rsidP="008C2AE9">
      <w:pPr>
        <w:spacing w:after="0" w:line="240" w:lineRule="auto"/>
      </w:pPr>
      <w:r>
        <w:separator/>
      </w:r>
    </w:p>
  </w:footnote>
  <w:footnote w:type="continuationSeparator" w:id="0">
    <w:p w14:paraId="336B49D8" w14:textId="77777777" w:rsidR="00064F08" w:rsidRDefault="00064F08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4EF9" w14:textId="2A9BE04C" w:rsidR="00391DAF" w:rsidRDefault="002E7A56">
    <w:pPr>
      <w:pStyle w:val="Intestazione"/>
    </w:pPr>
    <w:r>
      <w:t xml:space="preserve">ALLEGATO </w:t>
    </w:r>
    <w:r w:rsidR="00AD0E84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F05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52DE5"/>
    <w:multiLevelType w:val="hybridMultilevel"/>
    <w:tmpl w:val="D7B2526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3"/>
  </w:num>
  <w:num w:numId="18">
    <w:abstractNumId w:val="5"/>
  </w:num>
  <w:num w:numId="19">
    <w:abstractNumId w:val="6"/>
  </w:num>
  <w:num w:numId="20">
    <w:abstractNumId w:val="17"/>
  </w:num>
  <w:num w:numId="21">
    <w:abstractNumId w:val="30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1"/>
  </w:num>
  <w:num w:numId="30">
    <w:abstractNumId w:val="14"/>
  </w:num>
  <w:num w:numId="31">
    <w:abstractNumId w:val="25"/>
  </w:num>
  <w:num w:numId="32">
    <w:abstractNumId w:val="26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64F08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038"/>
    <w:rsid w:val="001E3DF6"/>
    <w:rsid w:val="001E5AFD"/>
    <w:rsid w:val="0020497D"/>
    <w:rsid w:val="002160C0"/>
    <w:rsid w:val="00217F65"/>
    <w:rsid w:val="00223210"/>
    <w:rsid w:val="00234E56"/>
    <w:rsid w:val="00294E6B"/>
    <w:rsid w:val="002B60C9"/>
    <w:rsid w:val="002C2993"/>
    <w:rsid w:val="002C6C36"/>
    <w:rsid w:val="002D7271"/>
    <w:rsid w:val="002D7E75"/>
    <w:rsid w:val="002E7A56"/>
    <w:rsid w:val="002F3AFD"/>
    <w:rsid w:val="00303FC5"/>
    <w:rsid w:val="00313849"/>
    <w:rsid w:val="003401C1"/>
    <w:rsid w:val="003442F7"/>
    <w:rsid w:val="0035656B"/>
    <w:rsid w:val="00361BB3"/>
    <w:rsid w:val="0038647C"/>
    <w:rsid w:val="00391DAF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D3C16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B67D8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AD0E84"/>
    <w:rsid w:val="00B00F1B"/>
    <w:rsid w:val="00B04F0E"/>
    <w:rsid w:val="00B14AE0"/>
    <w:rsid w:val="00B37C78"/>
    <w:rsid w:val="00B47E26"/>
    <w:rsid w:val="00B50758"/>
    <w:rsid w:val="00B54D5A"/>
    <w:rsid w:val="00B56DAB"/>
    <w:rsid w:val="00B676BE"/>
    <w:rsid w:val="00BB1DB9"/>
    <w:rsid w:val="00BC1BF9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1C8B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202F5"/>
    <w:rsid w:val="00E4552A"/>
    <w:rsid w:val="00E72753"/>
    <w:rsid w:val="00E72F7A"/>
    <w:rsid w:val="00E813BF"/>
    <w:rsid w:val="00E82C64"/>
    <w:rsid w:val="00E83A85"/>
    <w:rsid w:val="00EA5B6C"/>
    <w:rsid w:val="00EA7E9A"/>
    <w:rsid w:val="00EB5446"/>
    <w:rsid w:val="00EC3231"/>
    <w:rsid w:val="00ED5B01"/>
    <w:rsid w:val="00ED66AB"/>
    <w:rsid w:val="00EE4C0E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2593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1DAF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1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gs.mef.gov.it/VERSIONE-I/circolari/2022/circolare_n_33_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2025-02-11T12:14:00Z</dcterms:created>
  <dcterms:modified xsi:type="dcterms:W3CDTF">2025-02-11T13:09:00Z</dcterms:modified>
</cp:coreProperties>
</file>